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0A" w:rsidRDefault="00A517EA" w:rsidP="00EA052C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AE03F1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QUE FORMULA</w:t>
      </w:r>
      <w:r w:rsidR="00AE03F1">
        <w:rPr>
          <w:rFonts w:ascii="Palatino Linotype" w:hAnsi="Palatino Linotype" w:cs="Arial"/>
          <w:b/>
        </w:rPr>
        <w:t>N</w:t>
      </w:r>
      <w:r w:rsidRPr="006D731E">
        <w:rPr>
          <w:rFonts w:ascii="Palatino Linotype" w:hAnsi="Palatino Linotype" w:cs="Arial"/>
          <w:b/>
        </w:rPr>
        <w:t xml:space="preserve"> LA COMISIONADA EVA ABAID YAPUR</w:t>
      </w:r>
      <w:r w:rsidR="00AE03F1">
        <w:rPr>
          <w:rFonts w:ascii="Palatino Linotype" w:hAnsi="Palatino Linotype" w:cs="Arial"/>
          <w:b/>
        </w:rPr>
        <w:t xml:space="preserve"> Y LA COMISIONADA PRESIDENTA ZULEMA MARTÍNEZ SÁNCHEZ</w:t>
      </w:r>
      <w:r w:rsidRPr="006D731E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DATOS PERSONALES DEL ESTADO DE MÉXICO Y MUNICIPIOS, EN LA </w:t>
      </w:r>
      <w:r w:rsidR="00AE03F1">
        <w:rPr>
          <w:rFonts w:ascii="Palatino Linotype" w:hAnsi="Palatino Linotype" w:cs="Arial"/>
          <w:b/>
        </w:rPr>
        <w:t xml:space="preserve">TRIGÉSIMA </w:t>
      </w:r>
      <w:r w:rsidR="00A03C32">
        <w:rPr>
          <w:rFonts w:ascii="Palatino Linotype" w:hAnsi="Palatino Linotype" w:cs="Arial"/>
          <w:b/>
        </w:rPr>
        <w:t xml:space="preserve">QUINTA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A03C32">
        <w:rPr>
          <w:rFonts w:ascii="Palatino Linotype" w:hAnsi="Palatino Linotype" w:cs="Arial"/>
          <w:b/>
        </w:rPr>
        <w:t xml:space="preserve">VEINTISÉIS </w:t>
      </w:r>
      <w:r w:rsidR="00AE03F1">
        <w:rPr>
          <w:rFonts w:ascii="Palatino Linotype" w:hAnsi="Palatino Linotype" w:cs="Arial"/>
          <w:b/>
        </w:rPr>
        <w:t xml:space="preserve">DE </w:t>
      </w:r>
      <w:r w:rsidR="00F52359">
        <w:rPr>
          <w:rFonts w:ascii="Palatino Linotype" w:hAnsi="Palatino Linotype" w:cs="Arial"/>
          <w:b/>
        </w:rPr>
        <w:t>SEPTIEMBRE</w:t>
      </w:r>
      <w:r w:rsidRPr="006D731E">
        <w:rPr>
          <w:rFonts w:ascii="Palatino Linotype" w:hAnsi="Palatino Linotype" w:cs="Arial"/>
          <w:b/>
        </w:rPr>
        <w:t xml:space="preserve"> DE DOS MIL </w:t>
      </w:r>
      <w:r w:rsidR="006D731E">
        <w:rPr>
          <w:rFonts w:ascii="Palatino Linotype" w:hAnsi="Palatino Linotype" w:cs="Arial"/>
          <w:b/>
        </w:rPr>
        <w:t>DIECIOCHO</w:t>
      </w:r>
      <w:r w:rsidRPr="006D731E">
        <w:rPr>
          <w:rFonts w:ascii="Palatino Linotype" w:hAnsi="Palatino Linotype" w:cs="Arial"/>
          <w:b/>
        </w:rPr>
        <w:t xml:space="preserve">, EN </w:t>
      </w:r>
      <w:r w:rsidR="00F52359">
        <w:rPr>
          <w:rFonts w:ascii="Palatino Linotype" w:hAnsi="Palatino Linotype" w:cs="Arial"/>
          <w:b/>
        </w:rPr>
        <w:t>EL</w:t>
      </w:r>
      <w:r w:rsidRPr="006D731E">
        <w:rPr>
          <w:rFonts w:ascii="Palatino Linotype" w:hAnsi="Palatino Linotype" w:cs="Arial"/>
          <w:b/>
        </w:rPr>
        <w:t xml:space="preserve"> RECURSO</w:t>
      </w:r>
      <w:r w:rsidR="009C290A">
        <w:rPr>
          <w:rFonts w:ascii="Palatino Linotype" w:hAnsi="Palatino Linotype" w:cs="Arial"/>
          <w:b/>
        </w:rPr>
        <w:t xml:space="preserve"> DE REVISIÓN </w:t>
      </w:r>
      <w:r w:rsidR="00A03C32">
        <w:rPr>
          <w:rFonts w:ascii="Palatino Linotype" w:hAnsi="Palatino Linotype" w:cs="Arial"/>
          <w:b/>
        </w:rPr>
        <w:t>02629</w:t>
      </w:r>
      <w:r w:rsidR="00AE03F1" w:rsidRPr="00AE03F1">
        <w:rPr>
          <w:rFonts w:ascii="Palatino Linotype" w:hAnsi="Palatino Linotype" w:cs="Arial"/>
          <w:b/>
        </w:rPr>
        <w:t>/INFOEM/IP/RR/2018</w:t>
      </w:r>
      <w:r w:rsidR="00823404">
        <w:rPr>
          <w:rFonts w:ascii="Palatino Linotype" w:hAnsi="Palatino Linotype" w:cs="Arial"/>
          <w:b/>
        </w:rPr>
        <w:t>.</w:t>
      </w:r>
    </w:p>
    <w:p w:rsidR="000F0C55" w:rsidRDefault="00A517EA" w:rsidP="00EA052C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</w:t>
      </w:r>
      <w:r w:rsidR="009C290A">
        <w:rPr>
          <w:rFonts w:ascii="Palatino Linotype" w:hAnsi="Palatino Linotype" w:cs="Arial"/>
        </w:rPr>
        <w:t>s</w:t>
      </w:r>
      <w:r w:rsidRPr="006D731E">
        <w:rPr>
          <w:rFonts w:ascii="Palatino Linotype" w:hAnsi="Palatino Linotype" w:cs="Arial"/>
        </w:rPr>
        <w:t xml:space="preserve"> que suscribe</w:t>
      </w:r>
      <w:r w:rsidR="009C290A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>EVA ABAID YAPUR</w:t>
      </w:r>
      <w:r w:rsidR="009C290A">
        <w:rPr>
          <w:rFonts w:ascii="Palatino Linotype" w:hAnsi="Palatino Linotype" w:cs="Arial"/>
          <w:b/>
        </w:rPr>
        <w:t xml:space="preserve"> </w:t>
      </w:r>
      <w:r w:rsidR="009C290A">
        <w:rPr>
          <w:rFonts w:ascii="Palatino Linotype" w:hAnsi="Palatino Linotype" w:cs="Arial"/>
        </w:rPr>
        <w:t xml:space="preserve">y </w:t>
      </w:r>
      <w:r w:rsidR="009C290A">
        <w:rPr>
          <w:rFonts w:ascii="Palatino Linotype" w:hAnsi="Palatino Linotype" w:cs="Arial"/>
          <w:b/>
        </w:rPr>
        <w:t xml:space="preserve">ZULEMA MARTÍNEZ SÁNCHEZ </w:t>
      </w:r>
      <w:r w:rsidRPr="006D731E">
        <w:rPr>
          <w:rFonts w:ascii="Palatino Linotype" w:hAnsi="Palatino Linotype" w:cs="Arial"/>
        </w:rPr>
        <w:t>emite</w:t>
      </w:r>
      <w:r w:rsidR="009C290A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9C290A">
        <w:rPr>
          <w:rFonts w:ascii="Palatino Linotype" w:hAnsi="Palatino Linotype" w:cs="Arial"/>
          <w:b/>
        </w:rPr>
        <w:t xml:space="preserve"> CONCURRENTE</w:t>
      </w:r>
      <w:r w:rsidRPr="006D731E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F52359">
        <w:rPr>
          <w:rFonts w:ascii="Palatino Linotype" w:hAnsi="Palatino Linotype" w:cs="Arial"/>
        </w:rPr>
        <w:t>el</w:t>
      </w:r>
      <w:r w:rsidRPr="006D731E">
        <w:rPr>
          <w:rFonts w:ascii="Palatino Linotype" w:hAnsi="Palatino Linotype" w:cs="Arial"/>
        </w:rPr>
        <w:t xml:space="preserve"> recurso de revisión</w:t>
      </w:r>
      <w:r w:rsidR="00697836">
        <w:rPr>
          <w:rFonts w:ascii="Palatino Linotype" w:hAnsi="Palatino Linotype" w:cs="Arial"/>
        </w:rPr>
        <w:t xml:space="preserve"> </w:t>
      </w:r>
      <w:r w:rsidR="00A03C32">
        <w:rPr>
          <w:rFonts w:ascii="Palatino Linotype" w:hAnsi="Palatino Linotype" w:cs="Arial"/>
          <w:b/>
        </w:rPr>
        <w:t>02629</w:t>
      </w:r>
      <w:r w:rsidR="009C290A" w:rsidRPr="009C290A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823404">
        <w:rPr>
          <w:rFonts w:ascii="Palatino Linotype" w:hAnsi="Palatino Linotype" w:cs="Arial"/>
        </w:rPr>
        <w:t>el Comisionado</w:t>
      </w:r>
      <w:r w:rsidRPr="006D731E">
        <w:rPr>
          <w:rFonts w:ascii="Palatino Linotype" w:hAnsi="Palatino Linotype" w:cs="Arial"/>
        </w:rPr>
        <w:t xml:space="preserve"> </w:t>
      </w:r>
      <w:r w:rsidR="00F52359">
        <w:rPr>
          <w:rFonts w:ascii="Palatino Linotype" w:hAnsi="Palatino Linotype" w:cs="Arial"/>
          <w:b/>
        </w:rPr>
        <w:t>JAVIER MARTÍNEZ CRUZ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697836" w:rsidRDefault="00A517EA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</w:t>
      </w:r>
      <w:r w:rsidR="009C290A">
        <w:rPr>
          <w:rFonts w:ascii="Palatino Linotype" w:hAnsi="Palatino Linotype"/>
        </w:rPr>
        <w:t xml:space="preserve">, que las </w:t>
      </w:r>
      <w:r w:rsidRPr="006D731E">
        <w:rPr>
          <w:rFonts w:ascii="Palatino Linotype" w:hAnsi="Palatino Linotype"/>
        </w:rPr>
        <w:t>suscrita</w:t>
      </w:r>
      <w:r w:rsidR="009C290A">
        <w:rPr>
          <w:rFonts w:ascii="Palatino Linotype" w:hAnsi="Palatino Linotype"/>
        </w:rPr>
        <w:t>s</w:t>
      </w:r>
      <w:r w:rsidRPr="006D731E">
        <w:rPr>
          <w:rFonts w:ascii="Palatino Linotype" w:hAnsi="Palatino Linotype"/>
        </w:rPr>
        <w:t xml:space="preserve"> compart</w:t>
      </w:r>
      <w:r w:rsidR="009C290A">
        <w:rPr>
          <w:rFonts w:ascii="Palatino Linotype" w:hAnsi="Palatino Linotype"/>
        </w:rPr>
        <w:t>imos</w:t>
      </w:r>
      <w:r w:rsidRPr="006D731E">
        <w:rPr>
          <w:rFonts w:ascii="Palatino Linotype" w:hAnsi="Palatino Linotype"/>
        </w:rPr>
        <w:t xml:space="preserve"> esencialmente </w:t>
      </w:r>
      <w:r w:rsidR="00A03C32">
        <w:rPr>
          <w:rFonts w:ascii="Palatino Linotype" w:hAnsi="Palatino Linotype"/>
        </w:rPr>
        <w:t xml:space="preserve">las razones que motivaron la emisión </w:t>
      </w:r>
      <w:r w:rsidRPr="006D731E">
        <w:rPr>
          <w:rFonts w:ascii="Palatino Linotype" w:hAnsi="Palatino Linotype"/>
        </w:rPr>
        <w:t>del recurso de revisión</w:t>
      </w:r>
      <w:r w:rsidR="00A03C32">
        <w:rPr>
          <w:rFonts w:ascii="Palatino Linotype" w:hAnsi="Palatino Linotype"/>
        </w:rPr>
        <w:t xml:space="preserve"> en comento</w:t>
      </w:r>
      <w:r w:rsidRPr="006D731E">
        <w:rPr>
          <w:rFonts w:ascii="Palatino Linotype" w:hAnsi="Palatino Linotype"/>
        </w:rPr>
        <w:t xml:space="preserve">; empero, </w:t>
      </w:r>
      <w:r w:rsidR="00242456">
        <w:rPr>
          <w:rFonts w:ascii="Palatino Linotype" w:hAnsi="Palatino Linotype"/>
        </w:rPr>
        <w:t>estim</w:t>
      </w:r>
      <w:r w:rsidR="00A03C32">
        <w:rPr>
          <w:rFonts w:ascii="Palatino Linotype" w:hAnsi="Palatino Linotype"/>
        </w:rPr>
        <w:t>amos</w:t>
      </w:r>
      <w:r w:rsidRPr="006D731E">
        <w:rPr>
          <w:rFonts w:ascii="Palatino Linotype" w:hAnsi="Palatino Linotype"/>
        </w:rPr>
        <w:t xml:space="preserve"> necesario precisar algunas consid</w:t>
      </w:r>
      <w:r w:rsidR="00A03C32">
        <w:rPr>
          <w:rFonts w:ascii="Palatino Linotype" w:hAnsi="Palatino Linotype"/>
        </w:rPr>
        <w:t xml:space="preserve">eraciones de hecho y de derecho, respecto del sentido de la resolución correspondiente. </w:t>
      </w:r>
    </w:p>
    <w:p w:rsidR="0089260C" w:rsidRDefault="00A517EA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E27678">
        <w:rPr>
          <w:rFonts w:ascii="Palatino Linotype" w:hAnsi="Palatino Linotype"/>
        </w:rPr>
        <w:t>la</w:t>
      </w:r>
      <w:r w:rsidRPr="006D731E">
        <w:rPr>
          <w:rFonts w:ascii="Palatino Linotype" w:hAnsi="Palatino Linotype"/>
        </w:rPr>
        <w:t xml:space="preserve"> particular requirió de</w:t>
      </w:r>
      <w:r w:rsidR="00A03C32">
        <w:rPr>
          <w:rFonts w:ascii="Palatino Linotype" w:hAnsi="Palatino Linotype"/>
        </w:rPr>
        <w:t xml:space="preserve"> la </w:t>
      </w:r>
      <w:r w:rsidR="00A03C32">
        <w:rPr>
          <w:rFonts w:ascii="Palatino Linotype" w:hAnsi="Palatino Linotype"/>
          <w:b/>
        </w:rPr>
        <w:t>Universidad Politécnica del Valle de Toluca</w:t>
      </w:r>
      <w:r w:rsidR="00823404">
        <w:rPr>
          <w:rFonts w:ascii="Palatino Linotype" w:hAnsi="Palatino Linotype"/>
        </w:rPr>
        <w:t xml:space="preserve">, </w:t>
      </w:r>
      <w:r w:rsidR="00823404">
        <w:rPr>
          <w:rFonts w:ascii="Palatino Linotype" w:hAnsi="Palatino Linotype"/>
        </w:rPr>
        <w:lastRenderedPageBreak/>
        <w:t xml:space="preserve">en lo sucesivo </w:t>
      </w:r>
      <w:r w:rsidR="00823404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242456" w:rsidRPr="00A03C32">
        <w:rPr>
          <w:rFonts w:ascii="Palatino Linotype" w:hAnsi="Palatino Linotype"/>
        </w:rPr>
        <w:t>,</w:t>
      </w:r>
      <w:r w:rsidR="00A03C32" w:rsidRPr="00A03C32">
        <w:rPr>
          <w:rFonts w:ascii="Palatino Linotype" w:hAnsi="Palatino Linotype"/>
        </w:rPr>
        <w:t xml:space="preserve"> </w:t>
      </w:r>
      <w:r w:rsidR="001C2516">
        <w:rPr>
          <w:rFonts w:ascii="Palatino Linotype" w:hAnsi="Palatino Linotype"/>
        </w:rPr>
        <w:t xml:space="preserve">evidenciar </w:t>
      </w:r>
      <w:r w:rsidR="00A03C32" w:rsidRPr="00A03C32">
        <w:rPr>
          <w:rFonts w:ascii="Palatino Linotype" w:hAnsi="Palatino Linotype"/>
        </w:rPr>
        <w:t>el histórico de formatos de control reportados en la respuesta 282/2018</w:t>
      </w:r>
      <w:r w:rsidR="0089260C">
        <w:rPr>
          <w:rFonts w:ascii="Palatino Linotype" w:hAnsi="Palatino Linotype"/>
        </w:rPr>
        <w:t>.</w:t>
      </w:r>
    </w:p>
    <w:p w:rsidR="00E66C6B" w:rsidRDefault="00A517EA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lang w:eastAsia="es-MX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Pr="006D731E">
        <w:rPr>
          <w:rFonts w:ascii="Palatino Linotype" w:hAnsi="Palatino Linotype" w:cs="Arial"/>
        </w:rPr>
        <w:t xml:space="preserve"> </w:t>
      </w:r>
      <w:r w:rsidR="00823404">
        <w:rPr>
          <w:rFonts w:ascii="Palatino Linotype" w:hAnsi="Palatino Linotype" w:cs="Arial"/>
        </w:rPr>
        <w:t>informó a</w:t>
      </w:r>
      <w:r w:rsidR="00D45A7D">
        <w:rPr>
          <w:rFonts w:ascii="Palatino Linotype" w:hAnsi="Palatino Linotype" w:cs="Arial"/>
        </w:rPr>
        <w:t xml:space="preserve"> </w:t>
      </w:r>
      <w:r w:rsidR="00823404">
        <w:rPr>
          <w:rFonts w:ascii="Palatino Linotype" w:hAnsi="Palatino Linotype" w:cs="Arial"/>
        </w:rPr>
        <w:t>l</w:t>
      </w:r>
      <w:r w:rsidR="00D45A7D">
        <w:rPr>
          <w:rFonts w:ascii="Palatino Linotype" w:hAnsi="Palatino Linotype" w:cs="Arial"/>
        </w:rPr>
        <w:t>a</w:t>
      </w:r>
      <w:r w:rsidR="00823404">
        <w:rPr>
          <w:rFonts w:ascii="Palatino Linotype" w:hAnsi="Palatino Linotype" w:cs="Arial"/>
        </w:rPr>
        <w:t xml:space="preserve"> particular</w:t>
      </w:r>
      <w:r w:rsidR="00C6574B">
        <w:rPr>
          <w:rFonts w:ascii="Palatino Linotype" w:hAnsi="Palatino Linotype" w:cs="Arial"/>
        </w:rPr>
        <w:t xml:space="preserve"> </w:t>
      </w:r>
      <w:r w:rsidR="00C6574B">
        <w:rPr>
          <w:rFonts w:ascii="Palatino Linotype" w:hAnsi="Palatino Linotype"/>
        </w:rPr>
        <w:t>que</w:t>
      </w:r>
      <w:r w:rsidR="001C2516">
        <w:rPr>
          <w:rFonts w:ascii="Palatino Linotype" w:hAnsi="Palatino Linotype"/>
        </w:rPr>
        <w:t xml:space="preserve"> requería del pago de la cantidad de $2,027.40 (dos mil veintisiete pesos 40/100) para poder escanear y digitalizar la cantidad de 3, 379</w:t>
      </w:r>
      <w:r w:rsidR="00794929">
        <w:rPr>
          <w:rFonts w:ascii="Palatino Linotype" w:hAnsi="Palatino Linotype"/>
        </w:rPr>
        <w:t xml:space="preserve"> hojas</w:t>
      </w:r>
      <w:r w:rsidR="001C2516">
        <w:rPr>
          <w:rFonts w:ascii="Palatino Linotype" w:hAnsi="Palatino Linotype"/>
        </w:rPr>
        <w:t xml:space="preserve"> de los formatos entregados a los alumnos por el Sujeto Obligado correspondientes al trámite de seguimiento de egresados</w:t>
      </w:r>
      <w:r w:rsidR="00003541">
        <w:rPr>
          <w:rFonts w:ascii="Palatino Linotype" w:hAnsi="Palatino Linotype"/>
        </w:rPr>
        <w:t>, aunado a</w:t>
      </w:r>
      <w:r w:rsidR="00E66C6B">
        <w:rPr>
          <w:rFonts w:ascii="Palatino Linotype" w:hAnsi="Palatino Linotype"/>
        </w:rPr>
        <w:t xml:space="preserve"> que</w:t>
      </w:r>
      <w:r w:rsidR="00A266D6">
        <w:rPr>
          <w:rFonts w:ascii="Palatino Linotype" w:hAnsi="Palatino Linotype"/>
        </w:rPr>
        <w:t xml:space="preserve"> informó</w:t>
      </w:r>
      <w:r w:rsidR="00003541">
        <w:rPr>
          <w:rFonts w:ascii="Palatino Linotype" w:hAnsi="Palatino Linotype"/>
        </w:rPr>
        <w:t xml:space="preserve"> el procedimiento que debía realizar para poder obtener el recibo de pago en el Porta</w:t>
      </w:r>
      <w:r w:rsidR="00A266D6">
        <w:rPr>
          <w:rFonts w:ascii="Palatino Linotype" w:hAnsi="Palatino Linotype"/>
        </w:rPr>
        <w:t xml:space="preserve">l de servicios al contribuyente, con la muestra de diversas imágenes. </w:t>
      </w:r>
    </w:p>
    <w:p w:rsidR="00A517EA" w:rsidRDefault="00A517EA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/>
          <w:lang w:eastAsia="es-MX"/>
        </w:rPr>
        <w:t xml:space="preserve">Inconforme con la respuesta, </w:t>
      </w:r>
      <w:r w:rsidR="00E27678">
        <w:rPr>
          <w:rFonts w:ascii="Palatino Linotype" w:hAnsi="Palatino Linotype"/>
          <w:b/>
          <w:lang w:eastAsia="es-MX"/>
        </w:rPr>
        <w:t>LA</w:t>
      </w:r>
      <w:r w:rsidRPr="006D731E">
        <w:rPr>
          <w:rFonts w:ascii="Palatino Linotype" w:hAnsi="Palatino Linotype"/>
          <w:b/>
          <w:lang w:eastAsia="es-MX"/>
        </w:rPr>
        <w:t xml:space="preserve"> RECURRENTE</w:t>
      </w:r>
      <w:r w:rsidRPr="006D731E">
        <w:rPr>
          <w:rFonts w:ascii="Palatino Linotype" w:hAnsi="Palatino Linotype"/>
          <w:lang w:eastAsia="es-MX"/>
        </w:rPr>
        <w:t xml:space="preserve"> </w:t>
      </w:r>
      <w:r w:rsidRPr="006D731E">
        <w:rPr>
          <w:rFonts w:ascii="Palatino Linotype" w:hAnsi="Palatino Linotype" w:cs="Arial"/>
        </w:rPr>
        <w:t xml:space="preserve">interpuso </w:t>
      </w:r>
      <w:r w:rsidR="00DE5F8D">
        <w:rPr>
          <w:rFonts w:ascii="Palatino Linotype" w:hAnsi="Palatino Linotype" w:cs="Arial"/>
        </w:rPr>
        <w:t>el</w:t>
      </w:r>
      <w:r w:rsidR="00E66C6B">
        <w:rPr>
          <w:rFonts w:ascii="Palatino Linotype" w:hAnsi="Palatino Linotype" w:cs="Arial"/>
        </w:rPr>
        <w:t xml:space="preserve"> recurso de revisión de mérito a través del cual señalo como Acto Impugnado: </w:t>
      </w:r>
    </w:p>
    <w:p w:rsidR="00E66C6B" w:rsidRPr="006D731E" w:rsidRDefault="00E66C6B" w:rsidP="00EA052C">
      <w:pPr>
        <w:ind w:left="851" w:right="902"/>
        <w:jc w:val="both"/>
        <w:rPr>
          <w:rFonts w:ascii="Palatino Linotype" w:hAnsi="Palatino Linotype" w:cs="Arial"/>
        </w:rPr>
      </w:pPr>
      <w:r w:rsidRPr="00E66C6B">
        <w:rPr>
          <w:rFonts w:ascii="Palatino Linotype" w:hAnsi="Palatino Linotype" w:cs="Arial"/>
          <w:i/>
          <w:sz w:val="22"/>
          <w:szCs w:val="22"/>
        </w:rPr>
        <w:t>“Mienten y niegan información”</w:t>
      </w:r>
      <w:r>
        <w:rPr>
          <w:rFonts w:ascii="Palatino Linotype" w:hAnsi="Palatino Linotype" w:cs="Arial"/>
        </w:rPr>
        <w:t xml:space="preserve"> (Sic)</w:t>
      </w:r>
    </w:p>
    <w:p w:rsidR="00E66C6B" w:rsidRDefault="00E66C6B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manifestó como razones o motivos de inconformidad los siguientes:</w:t>
      </w:r>
    </w:p>
    <w:p w:rsidR="00E66C6B" w:rsidRPr="00E66C6B" w:rsidRDefault="00E66C6B" w:rsidP="00EA052C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</w:rPr>
      </w:pPr>
      <w:r w:rsidRPr="00E66C6B">
        <w:rPr>
          <w:rFonts w:ascii="Palatino Linotype" w:hAnsi="Palatino Linotype" w:cs="Arial"/>
          <w:i/>
          <w:sz w:val="22"/>
          <w:szCs w:val="22"/>
        </w:rPr>
        <w:t xml:space="preserve">“Se contradicen, dicen en respuesta anterior haber procesador la </w:t>
      </w:r>
      <w:proofErr w:type="spellStart"/>
      <w:r w:rsidRPr="00E66C6B">
        <w:rPr>
          <w:rFonts w:ascii="Palatino Linotype" w:hAnsi="Palatino Linotype" w:cs="Arial"/>
          <w:i/>
          <w:sz w:val="22"/>
          <w:szCs w:val="22"/>
        </w:rPr>
        <w:t>informacion</w:t>
      </w:r>
      <w:proofErr w:type="spellEnd"/>
      <w:r w:rsidRPr="00E66C6B">
        <w:rPr>
          <w:rFonts w:ascii="Palatino Linotype" w:hAnsi="Palatino Linotype" w:cs="Arial"/>
          <w:i/>
          <w:sz w:val="22"/>
          <w:szCs w:val="22"/>
        </w:rPr>
        <w:t xml:space="preserve"> y ahora la niegan y cobran” (Sic)</w:t>
      </w:r>
    </w:p>
    <w:p w:rsidR="00E66C6B" w:rsidRDefault="00E66C6B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lo anterior, conforme al análisis del expediente electrónico del </w:t>
      </w:r>
      <w:r>
        <w:rPr>
          <w:rFonts w:ascii="Palatino Linotype" w:hAnsi="Palatino Linotype" w:cs="Arial"/>
          <w:b/>
        </w:rPr>
        <w:t xml:space="preserve">SAIMEX, </w:t>
      </w:r>
      <w:r>
        <w:rPr>
          <w:rFonts w:ascii="Palatino Linotype" w:hAnsi="Palatino Linotype" w:cs="Arial"/>
        </w:rPr>
        <w:t xml:space="preserve">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>
        <w:rPr>
          <w:rFonts w:ascii="Palatino Linotype" w:hAnsi="Palatino Linotype" w:cs="Arial"/>
          <w:b/>
        </w:rPr>
        <w:t xml:space="preserve">REVOCAR </w:t>
      </w:r>
      <w:r w:rsidR="00F43ACE">
        <w:rPr>
          <w:rFonts w:ascii="Palatino Linotype" w:hAnsi="Palatino Linotype" w:cs="Arial"/>
        </w:rPr>
        <w:t xml:space="preserve">la respuesta emitida por el Sujeto Obligado, ordenándole hacer entrega vía SAIMEX, en versión pública del documento o documentos en donde conste lo siguiente: </w:t>
      </w:r>
    </w:p>
    <w:p w:rsidR="00F43ACE" w:rsidRPr="00F43ACE" w:rsidRDefault="00F43ACE" w:rsidP="00EA052C">
      <w:pPr>
        <w:pStyle w:val="Prrafodelista"/>
        <w:numPr>
          <w:ilvl w:val="0"/>
          <w:numId w:val="8"/>
        </w:numPr>
        <w:ind w:left="851" w:right="902" w:firstLine="0"/>
        <w:jc w:val="both"/>
        <w:rPr>
          <w:rFonts w:ascii="Palatino Linotype" w:hAnsi="Palatino Linotype"/>
          <w:i/>
          <w:sz w:val="22"/>
          <w:szCs w:val="22"/>
        </w:rPr>
      </w:pPr>
      <w:r w:rsidRPr="00F43ACE">
        <w:rPr>
          <w:rFonts w:ascii="Palatino Linotype" w:hAnsi="Palatino Linotype"/>
          <w:i/>
          <w:sz w:val="22"/>
          <w:szCs w:val="22"/>
          <w:lang w:val="es-ES_tradnl"/>
        </w:rPr>
        <w:t>Los formatos de control entregados a los alumnos, correspondientes al trámite de seguimientos de egresados durante el periodo del 2013 al 2018.</w:t>
      </w:r>
    </w:p>
    <w:p w:rsidR="00F43ACE" w:rsidRDefault="00F43ACE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Sin embargo, consideramos precisar que, a criterio de las suscritas </w:t>
      </w:r>
      <w:r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, desde su respuesta satisfizo el derecho de acceso a la información pública de </w:t>
      </w:r>
      <w:r>
        <w:rPr>
          <w:rFonts w:ascii="Palatino Linotype" w:hAnsi="Palatino Linotype" w:cs="Arial"/>
          <w:b/>
        </w:rPr>
        <w:t>LA RECURRENTE</w:t>
      </w:r>
      <w:r>
        <w:rPr>
          <w:rFonts w:ascii="Palatino Linotype" w:hAnsi="Palatino Linotype" w:cs="Arial"/>
        </w:rPr>
        <w:t xml:space="preserve"> como se verá en las líneas que continúan. </w:t>
      </w:r>
    </w:p>
    <w:p w:rsidR="00F43ACE" w:rsidRPr="00F43ACE" w:rsidRDefault="00F43ACE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Como fue expuesto, la particular al momento </w:t>
      </w:r>
      <w:r>
        <w:rPr>
          <w:rFonts w:ascii="Palatino Linotype" w:hAnsi="Palatino Linotype" w:cs="Arial"/>
          <w:lang w:eastAsia="es-MX"/>
        </w:rPr>
        <w:t xml:space="preserve">de interponer el </w:t>
      </w:r>
      <w:r w:rsidRPr="00FA1B0C">
        <w:rPr>
          <w:rFonts w:ascii="Palatino Linotype" w:hAnsi="Palatino Linotype" w:cs="Arial"/>
          <w:lang w:eastAsia="es-MX"/>
        </w:rPr>
        <w:t xml:space="preserve">recurso de revisión </w:t>
      </w:r>
      <w:r>
        <w:rPr>
          <w:rFonts w:ascii="Palatino Linotype" w:hAnsi="Palatino Linotype" w:cs="Arial"/>
          <w:lang w:eastAsia="es-MX"/>
        </w:rPr>
        <w:t xml:space="preserve">manifestó </w:t>
      </w:r>
      <w:r w:rsidRPr="00FA1B0C">
        <w:rPr>
          <w:rFonts w:ascii="Palatino Linotype" w:hAnsi="Palatino Linotype" w:cs="Arial"/>
          <w:lang w:eastAsia="es-MX"/>
        </w:rPr>
        <w:t xml:space="preserve">como acto impugnado </w:t>
      </w:r>
      <w:r w:rsidRPr="00FA1B0C">
        <w:rPr>
          <w:rFonts w:ascii="Palatino Linotype" w:hAnsi="Palatino Linotype" w:cs="Arial"/>
          <w:i/>
          <w:lang w:eastAsia="es-MX"/>
        </w:rPr>
        <w:t>“</w:t>
      </w:r>
      <w:r>
        <w:rPr>
          <w:rFonts w:ascii="Palatino Linotype" w:hAnsi="Palatino Linotype" w:cs="Arial"/>
          <w:i/>
          <w:lang w:eastAsia="es-MX"/>
        </w:rPr>
        <w:t>mienten y niegan la información</w:t>
      </w:r>
      <w:r w:rsidRPr="00FA1B0C">
        <w:rPr>
          <w:rFonts w:ascii="Palatino Linotype" w:hAnsi="Palatino Linotype" w:cs="Arial"/>
          <w:i/>
          <w:lang w:eastAsia="es-MX"/>
        </w:rPr>
        <w:t>”</w:t>
      </w:r>
      <w:r>
        <w:rPr>
          <w:rFonts w:ascii="Palatino Linotype" w:hAnsi="Palatino Linotype" w:cs="Arial"/>
          <w:lang w:eastAsia="es-MX"/>
        </w:rPr>
        <w:t xml:space="preserve"> (Sic), razón por la cual, la Ponencia </w:t>
      </w:r>
      <w:proofErr w:type="spellStart"/>
      <w:r>
        <w:rPr>
          <w:rFonts w:ascii="Palatino Linotype" w:hAnsi="Palatino Linotype" w:cs="Arial"/>
          <w:lang w:eastAsia="es-MX"/>
        </w:rPr>
        <w:t>Resolutora</w:t>
      </w:r>
      <w:proofErr w:type="spellEnd"/>
      <w:r>
        <w:rPr>
          <w:rFonts w:ascii="Palatino Linotype" w:hAnsi="Palatino Linotype" w:cs="Arial"/>
          <w:lang w:eastAsia="es-MX"/>
        </w:rPr>
        <w:t xml:space="preserve"> debió </w:t>
      </w:r>
      <w:r w:rsidRPr="00FA1B0C">
        <w:rPr>
          <w:rFonts w:ascii="Palatino Linotype" w:hAnsi="Palatino Linotype" w:cs="Arial"/>
          <w:lang w:eastAsia="es-MX"/>
        </w:rPr>
        <w:t>considera</w:t>
      </w:r>
      <w:r>
        <w:rPr>
          <w:rFonts w:ascii="Palatino Linotype" w:hAnsi="Palatino Linotype" w:cs="Arial"/>
          <w:lang w:eastAsia="es-MX"/>
        </w:rPr>
        <w:t>r</w:t>
      </w:r>
      <w:r w:rsidRPr="00FA1B0C">
        <w:rPr>
          <w:rFonts w:ascii="Palatino Linotype" w:hAnsi="Palatino Linotype" w:cs="Arial"/>
          <w:lang w:eastAsia="es-MX"/>
        </w:rPr>
        <w:t xml:space="preserve"> conveniente </w:t>
      </w:r>
      <w:r>
        <w:rPr>
          <w:rFonts w:ascii="Palatino Linotype" w:hAnsi="Palatino Linotype" w:cs="Arial"/>
          <w:lang w:eastAsia="es-MX"/>
        </w:rPr>
        <w:t>analizar tanto la solicitud como la respuesta</w:t>
      </w:r>
      <w:r w:rsidR="00A266D6">
        <w:rPr>
          <w:rFonts w:ascii="Palatino Linotype" w:hAnsi="Palatino Linotype" w:cs="Arial"/>
          <w:lang w:eastAsia="es-MX"/>
        </w:rPr>
        <w:t xml:space="preserve"> en razón al pago por concepto de digitalización de la información requerida</w:t>
      </w:r>
      <w:r w:rsidRPr="00FA1B0C">
        <w:rPr>
          <w:rFonts w:ascii="Palatino Linotype" w:hAnsi="Palatino Linotype" w:cs="Arial"/>
          <w:lang w:eastAsia="es-MX"/>
        </w:rPr>
        <w:t xml:space="preserve">, a fin de verificar si </w:t>
      </w:r>
      <w:r>
        <w:rPr>
          <w:rFonts w:ascii="Palatino Linotype" w:hAnsi="Palatino Linotype" w:cs="Arial"/>
          <w:lang w:eastAsia="es-MX"/>
        </w:rPr>
        <w:t>ésta última efectivamente colmaba</w:t>
      </w:r>
      <w:r w:rsidRPr="00FA1B0C">
        <w:rPr>
          <w:rFonts w:ascii="Palatino Linotype" w:hAnsi="Palatino Linotype" w:cs="Arial"/>
          <w:lang w:eastAsia="es-MX"/>
        </w:rPr>
        <w:t xml:space="preserve"> el derecho de acceso a la información pública de</w:t>
      </w:r>
      <w:r>
        <w:rPr>
          <w:rFonts w:ascii="Palatino Linotype" w:hAnsi="Palatino Linotype" w:cs="Arial"/>
          <w:lang w:eastAsia="es-MX"/>
        </w:rPr>
        <w:t xml:space="preserve"> </w:t>
      </w:r>
      <w:r w:rsidRPr="006263F2">
        <w:rPr>
          <w:rFonts w:ascii="Palatino Linotype" w:hAnsi="Palatino Linotype" w:cs="Arial"/>
          <w:lang w:eastAsia="es-MX"/>
        </w:rPr>
        <w:t>la</w:t>
      </w:r>
      <w:r>
        <w:rPr>
          <w:rFonts w:ascii="Palatino Linotype" w:hAnsi="Palatino Linotype" w:cs="Arial"/>
          <w:lang w:eastAsia="es-MX"/>
        </w:rPr>
        <w:t xml:space="preserve"> ahora</w:t>
      </w:r>
      <w:r>
        <w:rPr>
          <w:rFonts w:ascii="Palatino Linotype" w:hAnsi="Palatino Linotype" w:cs="Arial"/>
          <w:b/>
          <w:lang w:eastAsia="es-MX"/>
        </w:rPr>
        <w:t xml:space="preserve"> RECURRENTE</w:t>
      </w:r>
      <w:r w:rsidRPr="00FA1B0C">
        <w:rPr>
          <w:rFonts w:ascii="Palatino Linotype" w:hAnsi="Palatino Linotype" w:cs="Arial"/>
          <w:lang w:eastAsia="es-MX"/>
        </w:rPr>
        <w:t>.</w:t>
      </w:r>
    </w:p>
    <w:p w:rsidR="00A266D6" w:rsidRPr="00DC522B" w:rsidRDefault="00A266D6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Lo anterior, obedece a que conforme al principio de g</w:t>
      </w:r>
      <w:r w:rsidRPr="00DC522B">
        <w:rPr>
          <w:rFonts w:ascii="Palatino Linotype" w:hAnsi="Palatino Linotype" w:cs="Arial"/>
          <w:lang w:eastAsia="es-MX"/>
        </w:rPr>
        <w:t xml:space="preserve">ratuidad consagrado en el artículo 9 de la Ley de Transparencia y Acceso a la Información Pública del Estado de México y Municipios, </w:t>
      </w:r>
      <w:r>
        <w:rPr>
          <w:rFonts w:ascii="Palatino Linotype" w:hAnsi="Palatino Linotype" w:cs="Arial"/>
          <w:lang w:eastAsia="es-MX"/>
        </w:rPr>
        <w:t xml:space="preserve">se </w:t>
      </w:r>
      <w:r w:rsidRPr="00DC522B">
        <w:rPr>
          <w:rFonts w:ascii="Palatino Linotype" w:hAnsi="Palatino Linotype" w:cs="Arial"/>
          <w:lang w:eastAsia="es-MX"/>
        </w:rPr>
        <w:t>contempla el cobro para el acceso a la información en los supuestos que la</w:t>
      </w:r>
      <w:r>
        <w:rPr>
          <w:rFonts w:ascii="Palatino Linotype" w:hAnsi="Palatino Linotype" w:cs="Arial"/>
          <w:lang w:eastAsia="es-MX"/>
        </w:rPr>
        <w:t xml:space="preserve"> propia</w:t>
      </w:r>
      <w:r w:rsidRPr="00DC522B">
        <w:rPr>
          <w:rFonts w:ascii="Palatino Linotype" w:hAnsi="Palatino Linotype" w:cs="Arial"/>
          <w:lang w:eastAsia="es-MX"/>
        </w:rPr>
        <w:t xml:space="preserve"> Ley señale</w:t>
      </w:r>
      <w:r>
        <w:rPr>
          <w:rFonts w:ascii="Palatino Linotype" w:hAnsi="Palatino Linotype" w:cs="Arial"/>
          <w:lang w:eastAsia="es-MX"/>
        </w:rPr>
        <w:t>, tal como se advierte a continuación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Artículo 9. 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El Instituto deberá regir su funcionamiento de acuerdo a los siguientes principios: 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</w:t>
      </w:r>
    </w:p>
    <w:p w:rsidR="00A266D6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III. Gratuidad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: Consiste en que el acceso a la información pública no genera costo alguno para los solicitantes, sólo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 xml:space="preserve">podrá requerirse el cobro correspondiente a la modalidad de reproducción y entrega solicitada </w:t>
      </w:r>
      <w:r w:rsidRPr="00DC522B">
        <w:rPr>
          <w:rFonts w:ascii="Palatino Linotype" w:hAnsi="Palatino Linotype" w:cs="Arial"/>
          <w:i/>
          <w:sz w:val="22"/>
          <w:lang w:eastAsia="es-MX"/>
        </w:rPr>
        <w:t>conforme a lo establecido en la presente Ley y demás disposiciones jurídicas aplicables;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i/>
          <w:sz w:val="22"/>
          <w:lang w:eastAsia="es-MX"/>
        </w:rPr>
        <w:t>…”</w:t>
      </w:r>
    </w:p>
    <w:p w:rsidR="00A266D6" w:rsidRPr="00DC522B" w:rsidRDefault="00A266D6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A su vez, los artículos 165 y 175 de la Ley de la materia, indica</w:t>
      </w:r>
      <w:r>
        <w:rPr>
          <w:rFonts w:ascii="Palatino Linotype" w:hAnsi="Palatino Linotype" w:cs="Arial"/>
          <w:lang w:eastAsia="es-MX"/>
        </w:rPr>
        <w:t>n</w:t>
      </w:r>
      <w:r w:rsidRPr="00DC522B">
        <w:rPr>
          <w:rFonts w:ascii="Palatino Linotype" w:hAnsi="Palatino Linotype" w:cs="Arial"/>
          <w:lang w:eastAsia="es-MX"/>
        </w:rPr>
        <w:t xml:space="preserve"> los supuestos </w:t>
      </w:r>
      <w:r>
        <w:rPr>
          <w:rFonts w:ascii="Palatino Linotype" w:hAnsi="Palatino Linotype" w:cs="Arial"/>
          <w:lang w:eastAsia="es-MX"/>
        </w:rPr>
        <w:t>de procedencia del</w:t>
      </w:r>
      <w:r w:rsidRPr="00DC522B">
        <w:rPr>
          <w:rFonts w:ascii="Palatino Linotype" w:hAnsi="Palatino Linotype" w:cs="Arial"/>
          <w:lang w:eastAsia="es-MX"/>
        </w:rPr>
        <w:t xml:space="preserve"> cobro de derechos para la entrega de la información en los siguientes términos: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lastRenderedPageBreak/>
        <w:t>“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Artículo 165.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Los sujetos obligados establecerán la forma y términos en que darán trámite interno a las solicitudes en materia de acceso a la información.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que se entregue en versión pública,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cuya modalidad de reproducción o envío tenga un costo, procederá una vez que se acredite el pago respectivo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No puede entenderse como reproducción la elaboración de la misma. 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Ante la falta de respuesta a una solicitud en el plazo previsto y en caso de que proceda el acceso, los costos de reproducción y envío correrán a cargo del sujeto obligado.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Artículo 175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La información que en términos de Ley deban publicar de manera obligatoria los sujetos obligados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o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deba ser generada de manera electrónica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, según lo dispongan las disposiciones legales o administrativas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no podrá tener ningún costo</w:t>
      </w:r>
      <w:r w:rsidRPr="00DC522B">
        <w:rPr>
          <w:rFonts w:ascii="Palatino Linotype" w:hAnsi="Palatino Linotype" w:cs="Arial"/>
          <w:i/>
          <w:sz w:val="22"/>
          <w:lang w:eastAsia="es-MX"/>
        </w:rPr>
        <w:t>, incluyendo aquella que se hubiera digitalizado previamente por cualquier motivo, en aquellos casos en que la modalidad de entrega sea por medio de la plataforma o vía electrónica.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En ningún caso, el pago de derechos deberá exceder el costo de reproducción de la información en el material solicitado.</w:t>
      </w:r>
    </w:p>
    <w:p w:rsidR="00A266D6" w:rsidRPr="00DC522B" w:rsidRDefault="00A266D6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C41480" w:rsidRDefault="00A266D6" w:rsidP="00EA052C">
      <w:pPr>
        <w:ind w:left="851" w:right="899"/>
        <w:jc w:val="both"/>
        <w:rPr>
          <w:rFonts w:ascii="Palatino Linotype" w:hAnsi="Palatino Linotype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ajustes razonables que se realicen para el acceso de la información de solicitantes con discapacidad serán sin costo para los mismos.</w:t>
      </w:r>
      <w:r>
        <w:rPr>
          <w:rFonts w:ascii="Palatino Linotype" w:hAnsi="Palatino Linotype" w:cs="Arial"/>
          <w:i/>
          <w:sz w:val="22"/>
          <w:lang w:eastAsia="es-MX"/>
        </w:rPr>
        <w:t>”</w:t>
      </w:r>
    </w:p>
    <w:p w:rsidR="00A266D6" w:rsidRDefault="00A266D6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 xml:space="preserve">De los </w:t>
      </w:r>
      <w:r w:rsidRPr="00DC522B">
        <w:rPr>
          <w:rFonts w:ascii="Palatino Linotype" w:hAnsi="Palatino Linotype" w:cs="Arial"/>
          <w:lang w:eastAsia="es-MX"/>
        </w:rPr>
        <w:t>ordenamiento</w:t>
      </w:r>
      <w:r>
        <w:rPr>
          <w:rFonts w:ascii="Palatino Linotype" w:hAnsi="Palatino Linotype" w:cs="Arial"/>
          <w:lang w:eastAsia="es-MX"/>
        </w:rPr>
        <w:t>s</w:t>
      </w:r>
      <w:r w:rsidRPr="00DC522B">
        <w:rPr>
          <w:rFonts w:ascii="Palatino Linotype" w:hAnsi="Palatino Linotype" w:cs="Arial"/>
          <w:lang w:eastAsia="es-MX"/>
        </w:rPr>
        <w:t xml:space="preserve"> anterior</w:t>
      </w:r>
      <w:r>
        <w:rPr>
          <w:rFonts w:ascii="Palatino Linotype" w:hAnsi="Palatino Linotype" w:cs="Arial"/>
          <w:lang w:eastAsia="es-MX"/>
        </w:rPr>
        <w:t>es</w:t>
      </w:r>
      <w:r w:rsidRPr="00DC522B">
        <w:rPr>
          <w:rFonts w:ascii="Palatino Linotype" w:hAnsi="Palatino Linotype" w:cs="Arial"/>
          <w:lang w:eastAsia="es-MX"/>
        </w:rPr>
        <w:t xml:space="preserve">, podemos concluir que siempre que </w:t>
      </w:r>
      <w:r w:rsidRPr="00DC522B">
        <w:rPr>
          <w:rFonts w:ascii="Palatino Linotype" w:hAnsi="Palatino Linotype" w:cs="Arial"/>
          <w:b/>
          <w:lang w:eastAsia="es-MX"/>
        </w:rPr>
        <w:t>EL SUJETO OBLIGADO</w:t>
      </w:r>
      <w:r w:rsidRPr="00DC522B">
        <w:rPr>
          <w:rFonts w:ascii="Palatino Linotype" w:hAnsi="Palatino Linotype" w:cs="Arial"/>
          <w:lang w:eastAsia="es-MX"/>
        </w:rPr>
        <w:t xml:space="preserve"> genere la información de manera electrónica o que con motivo de sus funciones y en cumplimiento a las obligaciones que su marco jurídico dicte, la información deba obrar en sus archivos digitalizada, ésta no tendrá costo</w:t>
      </w:r>
      <w:r>
        <w:rPr>
          <w:rFonts w:ascii="Palatino Linotype" w:hAnsi="Palatino Linotype" w:cs="Arial"/>
          <w:lang w:eastAsia="es-MX"/>
        </w:rPr>
        <w:t xml:space="preserve"> alguno</w:t>
      </w:r>
      <w:r w:rsidRPr="00DC522B">
        <w:rPr>
          <w:rFonts w:ascii="Palatino Linotype" w:hAnsi="Palatino Linotype" w:cs="Arial"/>
          <w:lang w:eastAsia="es-MX"/>
        </w:rPr>
        <w:t xml:space="preserve"> para los particulares, y podrán acceder a ella excepto en los casos que </w:t>
      </w:r>
      <w:r>
        <w:rPr>
          <w:rFonts w:ascii="Palatino Linotype" w:hAnsi="Palatino Linotype" w:cs="Arial"/>
          <w:lang w:eastAsia="es-MX"/>
        </w:rPr>
        <w:t xml:space="preserve">dicha información </w:t>
      </w:r>
      <w:r w:rsidRPr="00DC522B">
        <w:rPr>
          <w:rFonts w:ascii="Palatino Linotype" w:hAnsi="Palatino Linotype" w:cs="Arial"/>
          <w:lang w:eastAsia="es-MX"/>
        </w:rPr>
        <w:t>encuadre en los supuestos de clasificación de la información.</w:t>
      </w:r>
    </w:p>
    <w:p w:rsidR="00EA052C" w:rsidRPr="00DC522B" w:rsidRDefault="00EA052C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  <w:lang w:eastAsia="es-MX"/>
        </w:rPr>
        <w:t>En ese contexto, r</w:t>
      </w:r>
      <w:r w:rsidRPr="00DC522B">
        <w:rPr>
          <w:rFonts w:ascii="Palatino Linotype" w:hAnsi="Palatino Linotype" w:cs="Arial"/>
          <w:lang w:eastAsia="es-MX"/>
        </w:rPr>
        <w:t>elacionado con</w:t>
      </w:r>
      <w:r>
        <w:rPr>
          <w:rFonts w:ascii="Palatino Linotype" w:hAnsi="Palatino Linotype" w:cs="Arial"/>
          <w:lang w:eastAsia="es-MX"/>
        </w:rPr>
        <w:t xml:space="preserve"> el histórico de formatos de control reportados en respuesta número 282/2018</w:t>
      </w:r>
      <w:r w:rsidRPr="00DC522B">
        <w:rPr>
          <w:rFonts w:ascii="Palatino Linotype" w:hAnsi="Palatino Linotype" w:cs="Arial"/>
          <w:lang w:eastAsia="es-MX"/>
        </w:rPr>
        <w:t xml:space="preserve">, es menester precisar que éste no representa una obligación </w:t>
      </w:r>
      <w:r w:rsidRPr="00DC522B">
        <w:rPr>
          <w:rFonts w:ascii="Palatino Linotype" w:hAnsi="Palatino Linotype" w:cs="Arial"/>
          <w:lang w:eastAsia="es-MX"/>
        </w:rPr>
        <w:lastRenderedPageBreak/>
        <w:t xml:space="preserve">de transparencia común </w:t>
      </w:r>
      <w:r>
        <w:rPr>
          <w:rFonts w:ascii="Palatino Linotype" w:hAnsi="Palatino Linotype" w:cs="Arial"/>
          <w:lang w:eastAsia="es-MX"/>
        </w:rPr>
        <w:t xml:space="preserve">o específica </w:t>
      </w:r>
      <w:r w:rsidRPr="00DC522B">
        <w:rPr>
          <w:rFonts w:ascii="Palatino Linotype" w:hAnsi="Palatino Linotype" w:cs="Arial"/>
          <w:lang w:eastAsia="es-MX"/>
        </w:rPr>
        <w:t xml:space="preserve">para </w:t>
      </w:r>
      <w:r w:rsidRPr="00DC522B">
        <w:rPr>
          <w:rFonts w:ascii="Palatino Linotype" w:hAnsi="Palatino Linotype" w:cs="Arial"/>
          <w:b/>
          <w:lang w:eastAsia="es-MX"/>
        </w:rPr>
        <w:t>EL SUJETO OBLIGADO</w:t>
      </w:r>
      <w:r w:rsidRPr="00DC522B">
        <w:rPr>
          <w:rFonts w:ascii="Palatino Linotype" w:hAnsi="Palatino Linotype" w:cs="Arial"/>
          <w:lang w:eastAsia="es-MX"/>
        </w:rPr>
        <w:t>, puesto que</w:t>
      </w:r>
      <w:r>
        <w:rPr>
          <w:rFonts w:ascii="Palatino Linotype" w:hAnsi="Palatino Linotype" w:cs="Arial"/>
          <w:lang w:eastAsia="es-MX"/>
        </w:rPr>
        <w:t xml:space="preserve"> de</w:t>
      </w:r>
      <w:r w:rsidRPr="00DC522B">
        <w:rPr>
          <w:rFonts w:ascii="Palatino Linotype" w:hAnsi="Palatino Linotype" w:cs="Arial"/>
          <w:lang w:eastAsia="es-MX"/>
        </w:rPr>
        <w:t xml:space="preserve"> las referidas en el artícu</w:t>
      </w:r>
      <w:r>
        <w:rPr>
          <w:rFonts w:ascii="Palatino Linotype" w:hAnsi="Palatino Linotype" w:cs="Arial"/>
          <w:lang w:eastAsia="es-MX"/>
        </w:rPr>
        <w:t>lo 92 de la Ley de Transparencia y Acceso a la Información Pública del Estado de México y Municipios</w:t>
      </w:r>
      <w:r w:rsidRPr="00DC522B">
        <w:rPr>
          <w:rFonts w:ascii="Palatino Linotype" w:hAnsi="Palatino Linotype" w:cs="Arial"/>
          <w:lang w:eastAsia="es-MX"/>
        </w:rPr>
        <w:t>, no configura</w:t>
      </w:r>
      <w:r>
        <w:rPr>
          <w:rFonts w:ascii="Palatino Linotype" w:hAnsi="Palatino Linotype" w:cs="Arial"/>
          <w:lang w:eastAsia="es-MX"/>
        </w:rPr>
        <w:t>n</w:t>
      </w:r>
      <w:r w:rsidRPr="00DC522B">
        <w:rPr>
          <w:rFonts w:ascii="Palatino Linotype" w:hAnsi="Palatino Linotype" w:cs="Arial"/>
          <w:lang w:eastAsia="es-MX"/>
        </w:rPr>
        <w:t xml:space="preserve"> el supuesto que excluya al </w:t>
      </w:r>
      <w:r w:rsidRPr="00DC522B">
        <w:rPr>
          <w:rFonts w:ascii="Palatino Linotype" w:hAnsi="Palatino Linotype" w:cs="Arial"/>
          <w:b/>
          <w:lang w:eastAsia="es-MX"/>
        </w:rPr>
        <w:t>SUJETO OBLIGADO</w:t>
      </w:r>
      <w:r w:rsidRPr="00DC522B">
        <w:rPr>
          <w:rFonts w:ascii="Palatino Linotype" w:hAnsi="Palatino Linotype" w:cs="Arial"/>
          <w:lang w:eastAsia="es-MX"/>
        </w:rPr>
        <w:t xml:space="preserve"> para requerir el previo pago de derechos a </w:t>
      </w:r>
      <w:r>
        <w:rPr>
          <w:rFonts w:ascii="Palatino Linotype" w:hAnsi="Palatino Linotype" w:cs="Arial"/>
          <w:lang w:eastAsia="es-MX"/>
        </w:rPr>
        <w:t xml:space="preserve">la solicitante </w:t>
      </w:r>
      <w:r w:rsidRPr="00DC522B">
        <w:rPr>
          <w:rFonts w:ascii="Palatino Linotype" w:hAnsi="Palatino Linotype" w:cs="Arial"/>
          <w:lang w:eastAsia="es-MX"/>
        </w:rPr>
        <w:t>por concepto de escaneo y reproducción de la información para su envío.</w:t>
      </w:r>
    </w:p>
    <w:p w:rsidR="00EA052C" w:rsidRPr="00F441FF" w:rsidRDefault="00EA052C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eastAsia="es-MX"/>
        </w:rPr>
      </w:pPr>
      <w:r w:rsidRPr="00DC522B">
        <w:rPr>
          <w:rFonts w:ascii="Palatino Linotype" w:hAnsi="Palatino Linotype" w:cs="Arial"/>
          <w:lang w:eastAsia="es-MX"/>
        </w:rPr>
        <w:t>Por ende</w:t>
      </w:r>
      <w:r>
        <w:rPr>
          <w:rFonts w:ascii="Palatino Linotype" w:hAnsi="Palatino Linotype" w:cs="Arial"/>
          <w:lang w:eastAsia="es-MX"/>
        </w:rPr>
        <w:t>, considero que</w:t>
      </w:r>
      <w:r w:rsidRPr="00DC522B">
        <w:rPr>
          <w:rFonts w:ascii="Palatino Linotype" w:hAnsi="Palatino Linotype" w:cs="Arial"/>
          <w:lang w:eastAsia="es-MX"/>
        </w:rPr>
        <w:t xml:space="preserve"> la respuesta otorgada por </w:t>
      </w:r>
      <w:r w:rsidRPr="00DC522B">
        <w:rPr>
          <w:rFonts w:ascii="Palatino Linotype" w:hAnsi="Palatino Linotype" w:cs="Arial"/>
          <w:b/>
          <w:lang w:eastAsia="es-MX"/>
        </w:rPr>
        <w:t>EL SUJETO OBLIGADO</w:t>
      </w:r>
      <w:r w:rsidRPr="00DC522B">
        <w:rPr>
          <w:rFonts w:ascii="Palatino Linotype" w:hAnsi="Palatino Linotype" w:cs="Arial"/>
          <w:lang w:eastAsia="es-MX"/>
        </w:rPr>
        <w:t xml:space="preserve"> resulta procedente en razón de que cumple con lo establecido </w:t>
      </w:r>
      <w:r>
        <w:rPr>
          <w:rFonts w:ascii="Palatino Linotype" w:hAnsi="Palatino Linotype" w:cs="Arial"/>
          <w:lang w:eastAsia="es-MX"/>
        </w:rPr>
        <w:t>en el numeral 174 de la citada L</w:t>
      </w:r>
      <w:r w:rsidRPr="00DC522B">
        <w:rPr>
          <w:rFonts w:ascii="Palatino Linotype" w:hAnsi="Palatino Linotype" w:cs="Arial"/>
          <w:lang w:eastAsia="es-MX"/>
        </w:rPr>
        <w:t>ey de Transparencia</w:t>
      </w:r>
      <w:r>
        <w:rPr>
          <w:rFonts w:ascii="Palatino Linotype" w:hAnsi="Palatino Linotype" w:cs="Arial"/>
          <w:lang w:eastAsia="es-MX"/>
        </w:rPr>
        <w:t>, mismo que se inserta para mayor referencia</w:t>
      </w:r>
      <w:r w:rsidRPr="00DC522B">
        <w:rPr>
          <w:rFonts w:ascii="Palatino Linotype" w:hAnsi="Palatino Linotype" w:cs="Arial"/>
          <w:lang w:eastAsia="es-MX"/>
        </w:rPr>
        <w:t>.</w:t>
      </w: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>
        <w:rPr>
          <w:rFonts w:ascii="Palatino Linotype" w:hAnsi="Palatino Linotype" w:cs="Arial"/>
          <w:b/>
          <w:i/>
          <w:sz w:val="22"/>
          <w:lang w:eastAsia="es-MX"/>
        </w:rPr>
        <w:t>“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Artículo 174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. </w:t>
      </w:r>
      <w:r w:rsidRPr="00DC522B">
        <w:rPr>
          <w:rFonts w:ascii="Palatino Linotype" w:hAnsi="Palatino Linotype" w:cs="Arial"/>
          <w:b/>
          <w:i/>
          <w:sz w:val="22"/>
          <w:lang w:eastAsia="es-MX"/>
        </w:rPr>
        <w:t>En caso de existir costos para obtener la información deberán cubrirse de manera previa a la entrega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y no podrán ser superiores a la suma de:</w:t>
      </w: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I. El costo de los materiales utilizados en la reproducción de la información;</w:t>
      </w: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II. El costo de envío, en su caso; y</w:t>
      </w: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III. El pago de la certificación de los documentos, cuando proceda.</w:t>
      </w: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b/>
          <w:i/>
          <w:sz w:val="22"/>
          <w:lang w:eastAsia="es-MX"/>
        </w:rPr>
        <w:t>Las cuotas de los derechos aplicables deberán establecerse, en su caso, en el Código Financiero del Estado de México y Municipios</w:t>
      </w:r>
      <w:r w:rsidRPr="00DC522B">
        <w:rPr>
          <w:rFonts w:ascii="Palatino Linotype" w:hAnsi="Palatino Linotype" w:cs="Arial"/>
          <w:i/>
          <w:sz w:val="22"/>
          <w:lang w:eastAsia="es-MX"/>
        </w:rPr>
        <w:t xml:space="preserve"> y demás disposiciones jurídicas aplicables, las cuales se publicarán en los sitios de internet de los sujetos obligados. En su determinación se deberá considerar que los montos permitan o faciliten el ejercicio del derecho de acceso a la información.</w:t>
      </w: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Los sujetos obligados a los que no les sea aplicable el Código Financiero del Estado de México y Municipios deberán establecer cuotas que no sean mayores a las dispuestas en dicho ordenamiento.</w:t>
      </w:r>
    </w:p>
    <w:p w:rsidR="00EA052C" w:rsidRPr="00DC522B" w:rsidRDefault="00EA052C" w:rsidP="00EA052C">
      <w:pPr>
        <w:ind w:left="851" w:right="899"/>
        <w:jc w:val="both"/>
        <w:rPr>
          <w:rFonts w:ascii="Palatino Linotype" w:hAnsi="Palatino Linotype" w:cs="Arial"/>
          <w:i/>
          <w:sz w:val="22"/>
          <w:lang w:eastAsia="es-MX"/>
        </w:rPr>
      </w:pPr>
    </w:p>
    <w:p w:rsidR="00A266D6" w:rsidRDefault="00EA052C" w:rsidP="00EA052C">
      <w:pPr>
        <w:ind w:left="851" w:right="899"/>
        <w:jc w:val="both"/>
        <w:rPr>
          <w:rFonts w:ascii="Palatino Linotype" w:hAnsi="Palatino Linotype"/>
        </w:rPr>
      </w:pPr>
      <w:r w:rsidRPr="00DC522B">
        <w:rPr>
          <w:rFonts w:ascii="Palatino Linotype" w:hAnsi="Palatino Linotype" w:cs="Arial"/>
          <w:i/>
          <w:sz w:val="22"/>
          <w:lang w:eastAsia="es-MX"/>
        </w:rPr>
        <w:t>La información deberá ser entregada sin costo, cuando implique la entrega de no más de veinte hojas simples. Las unidades de transparencia podrán exceptuar el pago de reproducción y envío atendiendo a las circunstancias socioeconómicas del solicitante, en términos de los lineamientos que expida el Instituto</w:t>
      </w:r>
      <w:r>
        <w:rPr>
          <w:rFonts w:ascii="Palatino Linotype" w:hAnsi="Palatino Linotype" w:cs="Arial"/>
          <w:i/>
          <w:sz w:val="22"/>
          <w:lang w:eastAsia="es-MX"/>
        </w:rPr>
        <w:t>”</w:t>
      </w:r>
    </w:p>
    <w:p w:rsidR="0089260C" w:rsidRDefault="00FD5809" w:rsidP="00EA052C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mirrorIndents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 ese contexto, la</w:t>
      </w:r>
      <w:r w:rsidR="00DB36F6">
        <w:rPr>
          <w:rFonts w:ascii="Palatino Linotype" w:hAnsi="Palatino Linotype"/>
        </w:rPr>
        <w:t>s</w:t>
      </w:r>
      <w:r w:rsidR="0089260C">
        <w:rPr>
          <w:rFonts w:ascii="Palatino Linotype" w:hAnsi="Palatino Linotype"/>
        </w:rPr>
        <w:t xml:space="preserve"> que suscribimos emitimos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VOTO PARTICULAR</w:t>
      </w:r>
      <w:r w:rsidR="00DB36F6">
        <w:rPr>
          <w:rFonts w:ascii="Palatino Linotype" w:hAnsi="Palatino Linotype"/>
          <w:b/>
        </w:rPr>
        <w:t xml:space="preserve"> </w:t>
      </w:r>
      <w:r w:rsidR="00DB36F6">
        <w:rPr>
          <w:rFonts w:ascii="Palatino Linotype" w:hAnsi="Palatino Linotype"/>
          <w:b/>
        </w:rPr>
        <w:lastRenderedPageBreak/>
        <w:t xml:space="preserve">CONCURRENTE </w:t>
      </w:r>
      <w:r>
        <w:rPr>
          <w:rFonts w:ascii="Palatino Linotype" w:hAnsi="Palatino Linotype"/>
        </w:rPr>
        <w:t xml:space="preserve">pues se </w:t>
      </w:r>
      <w:r w:rsidR="00003541">
        <w:rPr>
          <w:rFonts w:ascii="Palatino Linotype" w:hAnsi="Palatino Linotype"/>
        </w:rPr>
        <w:t xml:space="preserve">insiste que la solicitud formulada por la particular fue colmada con la respuesta emitida por </w:t>
      </w:r>
      <w:r w:rsidR="00003541">
        <w:rPr>
          <w:rFonts w:ascii="Palatino Linotype" w:hAnsi="Palatino Linotype"/>
          <w:b/>
        </w:rPr>
        <w:t xml:space="preserve">EL SUJETO OBLIGADO; </w:t>
      </w:r>
      <w:r w:rsidR="00003541">
        <w:rPr>
          <w:rFonts w:ascii="Palatino Linotype" w:hAnsi="Palatino Linotype"/>
        </w:rPr>
        <w:t xml:space="preserve">pues </w:t>
      </w:r>
      <w:r w:rsidR="0089260C">
        <w:rPr>
          <w:rFonts w:ascii="Palatino Linotype" w:hAnsi="Palatino Linotype"/>
        </w:rPr>
        <w:t xml:space="preserve">proporciono el procedimiento para efectuar el </w:t>
      </w:r>
      <w:r w:rsidR="00003541">
        <w:rPr>
          <w:rFonts w:ascii="Palatino Linotype" w:hAnsi="Palatino Linotype"/>
        </w:rPr>
        <w:t xml:space="preserve">pago para el escaneo de la </w:t>
      </w:r>
      <w:r w:rsidR="0089260C">
        <w:rPr>
          <w:rFonts w:ascii="Palatino Linotype" w:hAnsi="Palatino Linotype"/>
        </w:rPr>
        <w:t xml:space="preserve">información, mismo que resultaba procedente por ajustarse a los ordinales jurídicos anteriormente citados y conforme al principio de legalidad previsto en el artículo 9 de la Ley de Transparencia y Acceso a la Información Pública del Estado de México y Municipios. </w:t>
      </w:r>
    </w:p>
    <w:p w:rsidR="0089260C" w:rsidRDefault="0089260C" w:rsidP="00EA052C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mirrorIndents/>
        <w:jc w:val="both"/>
        <w:rPr>
          <w:rFonts w:ascii="Palatino Linotype" w:hAnsi="Palatino Linotype"/>
        </w:rPr>
      </w:pPr>
    </w:p>
    <w:p w:rsidR="00FD5809" w:rsidRDefault="00FD5809" w:rsidP="00EA052C">
      <w:pPr>
        <w:widowControl w:val="0"/>
        <w:tabs>
          <w:tab w:val="left" w:pos="7568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EA052C" w:rsidRDefault="00EA052C" w:rsidP="00EA052C">
      <w:pPr>
        <w:widowControl w:val="0"/>
        <w:tabs>
          <w:tab w:val="left" w:pos="7568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B95DD2" w:rsidRDefault="00B95DD2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89260C" w:rsidRDefault="0089260C" w:rsidP="00EA052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56"/>
      </w:tblGrid>
      <w:tr w:rsidR="007617DE" w:rsidTr="00350B06">
        <w:tc>
          <w:tcPr>
            <w:tcW w:w="4555" w:type="dxa"/>
          </w:tcPr>
          <w:p w:rsidR="007617DE" w:rsidRPr="00457590" w:rsidRDefault="007617DE" w:rsidP="00EA052C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EVA ABAID YAPUR</w:t>
            </w:r>
          </w:p>
        </w:tc>
        <w:tc>
          <w:tcPr>
            <w:tcW w:w="4556" w:type="dxa"/>
          </w:tcPr>
          <w:p w:rsidR="007617DE" w:rsidRPr="00457590" w:rsidRDefault="007617DE" w:rsidP="00EA052C">
            <w:pPr>
              <w:jc w:val="center"/>
              <w:rPr>
                <w:rFonts w:ascii="Palatino Linotype" w:hAnsi="Palatino Linotype" w:cs="Arial"/>
                <w:b/>
              </w:rPr>
            </w:pPr>
            <w:r w:rsidRPr="00457590">
              <w:rPr>
                <w:rFonts w:ascii="Palatino Linotype" w:hAnsi="Palatino Linotype" w:cs="Arial"/>
                <w:b/>
              </w:rPr>
              <w:t>ZULEMA MARTÍNEZ SÁNCHEZ</w:t>
            </w:r>
          </w:p>
        </w:tc>
      </w:tr>
      <w:tr w:rsidR="007617DE" w:rsidTr="00350B06">
        <w:tc>
          <w:tcPr>
            <w:tcW w:w="4555" w:type="dxa"/>
          </w:tcPr>
          <w:p w:rsidR="007617DE" w:rsidRDefault="007617DE" w:rsidP="00EA052C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  <w:p w:rsidR="00E54F9D" w:rsidRPr="00457590" w:rsidRDefault="00E54F9D" w:rsidP="00EA052C">
            <w:pPr>
              <w:jc w:val="center"/>
              <w:rPr>
                <w:rFonts w:ascii="Palatino Linotype" w:hAnsi="Palatino Linotype" w:cs="Arial"/>
                <w:b/>
              </w:rPr>
            </w:pPr>
            <w:r w:rsidRPr="00D21AFF">
              <w:rPr>
                <w:rFonts w:ascii="Palatino Linotype" w:hAnsi="Palatino Linotype" w:cs="Arial"/>
                <w:b/>
              </w:rPr>
              <w:t>(RÚBRICA)</w:t>
            </w:r>
            <w:r>
              <w:rPr>
                <w:rFonts w:ascii="Palatino Linotype" w:hAnsi="Palatino Linotype" w:cs="Arial"/>
                <w:b/>
              </w:rPr>
              <w:t xml:space="preserve">  </w:t>
            </w:r>
          </w:p>
        </w:tc>
        <w:tc>
          <w:tcPr>
            <w:tcW w:w="4556" w:type="dxa"/>
          </w:tcPr>
          <w:p w:rsidR="007617DE" w:rsidRDefault="007617DE" w:rsidP="00EA052C">
            <w:pPr>
              <w:jc w:val="center"/>
              <w:rPr>
                <w:rFonts w:ascii="Palatino Linotype" w:hAnsi="Palatino Linotype" w:cs="Arial"/>
                <w:b/>
              </w:rPr>
            </w:pPr>
            <w:r w:rsidRPr="00457590">
              <w:rPr>
                <w:rFonts w:ascii="Palatino Linotype" w:hAnsi="Palatino Linotype" w:cs="Arial"/>
                <w:b/>
              </w:rPr>
              <w:t>COMISIONADA PRESIDENTA</w:t>
            </w:r>
          </w:p>
          <w:p w:rsidR="00E54F9D" w:rsidRPr="00457590" w:rsidRDefault="00E54F9D" w:rsidP="00EA052C">
            <w:pPr>
              <w:jc w:val="center"/>
              <w:rPr>
                <w:rFonts w:ascii="Palatino Linotype" w:hAnsi="Palatino Linotype" w:cs="Arial"/>
                <w:b/>
              </w:rPr>
            </w:pPr>
            <w:r w:rsidRPr="00D21AFF">
              <w:rPr>
                <w:rFonts w:ascii="Palatino Linotype" w:hAnsi="Palatino Linotype" w:cs="Arial"/>
                <w:b/>
              </w:rPr>
              <w:t>(RÚBRICA)</w:t>
            </w:r>
            <w:bookmarkStart w:id="0" w:name="_GoBack"/>
            <w:bookmarkEnd w:id="0"/>
          </w:p>
        </w:tc>
      </w:tr>
      <w:tr w:rsidR="007617DE" w:rsidTr="00350B06">
        <w:tc>
          <w:tcPr>
            <w:tcW w:w="4555" w:type="dxa"/>
          </w:tcPr>
          <w:p w:rsidR="007617DE" w:rsidRDefault="007617DE" w:rsidP="00EA052C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4556" w:type="dxa"/>
          </w:tcPr>
          <w:p w:rsidR="007617DE" w:rsidRPr="00457590" w:rsidRDefault="007617DE" w:rsidP="00EA052C">
            <w:pPr>
              <w:jc w:val="center"/>
              <w:rPr>
                <w:rFonts w:ascii="Palatino Linotype" w:hAnsi="Palatino Linotype" w:cs="Arial"/>
                <w:b/>
              </w:rPr>
            </w:pPr>
          </w:p>
        </w:tc>
      </w:tr>
    </w:tbl>
    <w:p w:rsidR="00003541" w:rsidRDefault="00003541" w:rsidP="00EA052C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9260C" w:rsidRDefault="0089260C" w:rsidP="00EA052C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7617DE" w:rsidRDefault="00EA0E3A" w:rsidP="00EA052C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voto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particular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concurrente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emitid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</w:t>
      </w:r>
      <w:r w:rsidR="00B95DD2"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recurso de revisión </w:t>
      </w:r>
      <w:r w:rsidR="00003541">
        <w:rPr>
          <w:rFonts w:ascii="Palatino Linotype" w:eastAsia="Calibri" w:hAnsi="Palatino Linotype" w:cs="Arial"/>
          <w:color w:val="000000" w:themeColor="text1"/>
          <w:sz w:val="20"/>
          <w:szCs w:val="20"/>
        </w:rPr>
        <w:t>02629</w:t>
      </w:r>
      <w:r w:rsidR="0084649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aprobad</w:t>
      </w:r>
      <w:r w:rsidR="00B95DD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a el </w:t>
      </w:r>
      <w:r w:rsidR="0000354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veintiséis 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B95DD2">
        <w:rPr>
          <w:rFonts w:ascii="Palatino Linotype" w:eastAsia="Calibri" w:hAnsi="Palatino Linotype" w:cs="Arial"/>
          <w:color w:val="000000" w:themeColor="text1"/>
          <w:sz w:val="20"/>
          <w:szCs w:val="20"/>
        </w:rPr>
        <w:t>septiembre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B95DD2" w:rsidRPr="00B95DD2" w:rsidRDefault="00B95DD2" w:rsidP="00EA052C">
      <w:pPr>
        <w:jc w:val="both"/>
        <w:rPr>
          <w:rFonts w:ascii="Palatino Linotype" w:eastAsia="Calibri" w:hAnsi="Palatino Linotype" w:cs="Arial"/>
          <w:color w:val="000000" w:themeColor="text1"/>
          <w:sz w:val="4"/>
          <w:szCs w:val="20"/>
        </w:rPr>
      </w:pPr>
    </w:p>
    <w:p w:rsidR="00A517EA" w:rsidRPr="006D731E" w:rsidRDefault="007617DE" w:rsidP="00EA052C">
      <w:pPr>
        <w:jc w:val="both"/>
      </w:pPr>
      <w:r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OSAM/</w:t>
      </w:r>
      <w:r w:rsidR="00B95DD2">
        <w:rPr>
          <w:rFonts w:ascii="Palatino Linotype" w:eastAsia="Calibri" w:hAnsi="Palatino Linotype" w:cs="Arial"/>
          <w:color w:val="000000" w:themeColor="text1"/>
          <w:sz w:val="20"/>
          <w:szCs w:val="20"/>
        </w:rPr>
        <w:t>IAHA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33" w:rsidRDefault="00E44D33" w:rsidP="00DB3A83">
      <w:r>
        <w:separator/>
      </w:r>
    </w:p>
  </w:endnote>
  <w:endnote w:type="continuationSeparator" w:id="0">
    <w:p w:rsidR="00E44D33" w:rsidRDefault="00E44D33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E54F9D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E54F9D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E54F9D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E54F9D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54F9D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E54F9D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E54F9D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33" w:rsidRDefault="00E44D33" w:rsidP="00DB3A83">
      <w:r>
        <w:separator/>
      </w:r>
    </w:p>
  </w:footnote>
  <w:footnote w:type="continuationSeparator" w:id="0">
    <w:p w:rsidR="00E44D33" w:rsidRDefault="00E44D33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E54F9D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E54F9D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AE03F1">
      <w:rPr>
        <w:rFonts w:ascii="Palatino Linotype" w:hAnsi="Palatino Linotype" w:cs="Arial"/>
        <w:sz w:val="20"/>
        <w:szCs w:val="20"/>
      </w:rPr>
      <w:t xml:space="preserve"> CONCURRENTE</w:t>
    </w:r>
  </w:p>
  <w:p w:rsidR="00823404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823404" w:rsidRPr="00823404">
      <w:rPr>
        <w:rFonts w:ascii="Palatino Linotype" w:hAnsi="Palatino Linotype" w:cs="Arial"/>
        <w:sz w:val="20"/>
        <w:szCs w:val="20"/>
      </w:rPr>
      <w:t>0</w:t>
    </w:r>
    <w:r w:rsidR="00A03C32">
      <w:rPr>
        <w:rFonts w:ascii="Palatino Linotype" w:hAnsi="Palatino Linotype" w:cs="Arial"/>
        <w:sz w:val="20"/>
        <w:szCs w:val="20"/>
      </w:rPr>
      <w:t>2629</w:t>
    </w:r>
    <w:r w:rsidR="009C290A">
      <w:rPr>
        <w:rFonts w:ascii="Palatino Linotype" w:hAnsi="Palatino Linotype" w:cs="Arial"/>
        <w:sz w:val="20"/>
        <w:szCs w:val="20"/>
      </w:rPr>
      <w:t>/INFOEM/IP/RR/2018</w:t>
    </w:r>
    <w:r w:rsidR="00823404" w:rsidRPr="00823404">
      <w:rPr>
        <w:rFonts w:ascii="Palatino Linotype" w:hAnsi="Palatino Linotype" w:cs="Arial"/>
        <w:sz w:val="20"/>
        <w:szCs w:val="20"/>
      </w:rPr>
      <w:t xml:space="preserve"> </w:t>
    </w:r>
  </w:p>
  <w:p w:rsidR="00125D2F" w:rsidRDefault="00E54F9D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830" o:spid="_x0000_s2049" type="#_x0000_t136" style="position:absolute;left:0;text-align:left;margin-left:0;margin-top:0;width:703.5pt;height:65.2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0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5CB"/>
    <w:multiLevelType w:val="hybridMultilevel"/>
    <w:tmpl w:val="F5905F2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8A02F5"/>
    <w:multiLevelType w:val="hybridMultilevel"/>
    <w:tmpl w:val="AFD85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0B38"/>
    <w:multiLevelType w:val="hybridMultilevel"/>
    <w:tmpl w:val="3328DE60"/>
    <w:lvl w:ilvl="0" w:tplc="582C17C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F3ABA"/>
    <w:multiLevelType w:val="hybridMultilevel"/>
    <w:tmpl w:val="795AD0AE"/>
    <w:lvl w:ilvl="0" w:tplc="080A000F">
      <w:start w:val="1"/>
      <w:numFmt w:val="decimal"/>
      <w:lvlText w:val="%1."/>
      <w:lvlJc w:val="left"/>
      <w:pPr>
        <w:ind w:left="1591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" w15:restartNumberingAfterBreak="0">
    <w:nsid w:val="48291533"/>
    <w:multiLevelType w:val="hybridMultilevel"/>
    <w:tmpl w:val="E9C49A9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36055"/>
    <w:multiLevelType w:val="hybridMultilevel"/>
    <w:tmpl w:val="BDB66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9D43F3"/>
    <w:multiLevelType w:val="hybridMultilevel"/>
    <w:tmpl w:val="FACC0DE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03541"/>
    <w:rsid w:val="00043682"/>
    <w:rsid w:val="000F0C55"/>
    <w:rsid w:val="00123483"/>
    <w:rsid w:val="00191CF3"/>
    <w:rsid w:val="001976FE"/>
    <w:rsid w:val="001C2516"/>
    <w:rsid w:val="001E56B6"/>
    <w:rsid w:val="00206149"/>
    <w:rsid w:val="00216380"/>
    <w:rsid w:val="00242456"/>
    <w:rsid w:val="00243FBB"/>
    <w:rsid w:val="00254372"/>
    <w:rsid w:val="00260EA1"/>
    <w:rsid w:val="002670A2"/>
    <w:rsid w:val="00296C85"/>
    <w:rsid w:val="00303EAE"/>
    <w:rsid w:val="00324EBE"/>
    <w:rsid w:val="00387A27"/>
    <w:rsid w:val="003C2F6A"/>
    <w:rsid w:val="003E12DD"/>
    <w:rsid w:val="00404F4A"/>
    <w:rsid w:val="00411EDA"/>
    <w:rsid w:val="00437359"/>
    <w:rsid w:val="004A2D32"/>
    <w:rsid w:val="004B5C25"/>
    <w:rsid w:val="00527EC7"/>
    <w:rsid w:val="0053148C"/>
    <w:rsid w:val="005A1509"/>
    <w:rsid w:val="005A4D7F"/>
    <w:rsid w:val="005B3099"/>
    <w:rsid w:val="00654FE9"/>
    <w:rsid w:val="00666BD2"/>
    <w:rsid w:val="006801D4"/>
    <w:rsid w:val="00697836"/>
    <w:rsid w:val="006B0D54"/>
    <w:rsid w:val="006B30CD"/>
    <w:rsid w:val="006C3234"/>
    <w:rsid w:val="006C7D0A"/>
    <w:rsid w:val="006D731E"/>
    <w:rsid w:val="00726EF2"/>
    <w:rsid w:val="007617DE"/>
    <w:rsid w:val="0076312A"/>
    <w:rsid w:val="00794929"/>
    <w:rsid w:val="007C7A0C"/>
    <w:rsid w:val="00811B0B"/>
    <w:rsid w:val="00823404"/>
    <w:rsid w:val="00846499"/>
    <w:rsid w:val="00862F43"/>
    <w:rsid w:val="00864D3F"/>
    <w:rsid w:val="0089260C"/>
    <w:rsid w:val="008A35FA"/>
    <w:rsid w:val="008B0732"/>
    <w:rsid w:val="00913E69"/>
    <w:rsid w:val="00925B88"/>
    <w:rsid w:val="00972037"/>
    <w:rsid w:val="00990B93"/>
    <w:rsid w:val="009B582A"/>
    <w:rsid w:val="009C290A"/>
    <w:rsid w:val="009F0C59"/>
    <w:rsid w:val="00A03C32"/>
    <w:rsid w:val="00A12991"/>
    <w:rsid w:val="00A15DD9"/>
    <w:rsid w:val="00A266D6"/>
    <w:rsid w:val="00A2795F"/>
    <w:rsid w:val="00A517EA"/>
    <w:rsid w:val="00A96975"/>
    <w:rsid w:val="00AE03F1"/>
    <w:rsid w:val="00B30650"/>
    <w:rsid w:val="00B543F3"/>
    <w:rsid w:val="00B756DB"/>
    <w:rsid w:val="00B860BF"/>
    <w:rsid w:val="00B95DD2"/>
    <w:rsid w:val="00BF317A"/>
    <w:rsid w:val="00C41480"/>
    <w:rsid w:val="00C50BFD"/>
    <w:rsid w:val="00C6574B"/>
    <w:rsid w:val="00CE0CD5"/>
    <w:rsid w:val="00CE0D21"/>
    <w:rsid w:val="00CE620F"/>
    <w:rsid w:val="00CF70C6"/>
    <w:rsid w:val="00D00F1A"/>
    <w:rsid w:val="00D05D82"/>
    <w:rsid w:val="00D064C2"/>
    <w:rsid w:val="00D41F23"/>
    <w:rsid w:val="00D45A7D"/>
    <w:rsid w:val="00D55E6A"/>
    <w:rsid w:val="00D724F4"/>
    <w:rsid w:val="00D75277"/>
    <w:rsid w:val="00D872C4"/>
    <w:rsid w:val="00DB36F6"/>
    <w:rsid w:val="00DB3A83"/>
    <w:rsid w:val="00DD5275"/>
    <w:rsid w:val="00DE5F8D"/>
    <w:rsid w:val="00E27678"/>
    <w:rsid w:val="00E44D33"/>
    <w:rsid w:val="00E46292"/>
    <w:rsid w:val="00E54F9D"/>
    <w:rsid w:val="00E66C6B"/>
    <w:rsid w:val="00EA052C"/>
    <w:rsid w:val="00EA0E3A"/>
    <w:rsid w:val="00F054F8"/>
    <w:rsid w:val="00F10238"/>
    <w:rsid w:val="00F32597"/>
    <w:rsid w:val="00F43ACE"/>
    <w:rsid w:val="00F52359"/>
    <w:rsid w:val="00F579EE"/>
    <w:rsid w:val="00F64CC1"/>
    <w:rsid w:val="00F83731"/>
    <w:rsid w:val="00F91A7F"/>
    <w:rsid w:val="00FA0BF5"/>
    <w:rsid w:val="00FA5F51"/>
    <w:rsid w:val="00FB25E3"/>
    <w:rsid w:val="00FC0B6D"/>
    <w:rsid w:val="00FC1DB1"/>
    <w:rsid w:val="00FD5809"/>
    <w:rsid w:val="00FE359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FC0B6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617D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1393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7</cp:revision>
  <cp:lastPrinted>2018-09-03T19:21:00Z</cp:lastPrinted>
  <dcterms:created xsi:type="dcterms:W3CDTF">2018-09-28T19:22:00Z</dcterms:created>
  <dcterms:modified xsi:type="dcterms:W3CDTF">2018-10-18T19:50:00Z</dcterms:modified>
</cp:coreProperties>
</file>